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第四章 安全生产相关法律</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1．《刑法》：分析安全生产犯罪应承担的刑事责任。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2．《行政处罚法》：判断安全生产活动中违反行政管理秩序的行为及应受到的行政处罚。</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3．《行政许可法》：掌握行政许可的基本规定，分析行政许可的设定、实施机关和实施程序、监督检查等方面的有关法律问题，判断设定行政许可的条件和实施行政许可的合法性。</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4．《职业病防治法》：掌握职业病防治的基本规定，分析职业病前期预防、劳动过程中的防护与管理、职业病病人保障等方面的有关法律问题，判断违法行为及应负的法律责任。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5．《劳动法》：分析劳动安全卫生、女职工和未成年工特殊保护、社会保险和福利、劳动安全卫生监督检查等方面的有关法律问题，判断违法行为及应负的法律责任。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6．《劳动合同法》：分析劳动合同制度中有关安全生产和职业病方面的有关法律问题，判断违法行为及应负的法律责任。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319341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3193415"/>
                    </a:xfrm>
                    <a:prstGeom prst="rect">
                      <a:avLst/>
                    </a:prstGeom>
                  </pic:spPr>
                </pic:pic>
              </a:graphicData>
            </a:graphic>
          </wp:inline>
        </w:drawing>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3034030"/>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274310" cy="303403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生产经营单位及其有关人员犯罪及其刑事责任(表4-1)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4-1生产经营单位及其有关人员犯罪及其刑事责任</w:t>
      </w:r>
    </w:p>
    <w:tbl>
      <w:tblPr>
        <w:tblStyle w:val="4"/>
        <w:tblW w:w="8448" w:type="dxa"/>
        <w:tblInd w:w="15" w:type="dxa"/>
        <w:tblLayout w:type="fixed"/>
        <w:tblCellMar>
          <w:top w:w="0" w:type="dxa"/>
          <w:left w:w="0" w:type="dxa"/>
          <w:bottom w:w="0" w:type="dxa"/>
          <w:right w:w="0" w:type="dxa"/>
        </w:tblCellMar>
      </w:tblPr>
      <w:tblGrid>
        <w:gridCol w:w="1617"/>
        <w:gridCol w:w="6831"/>
      </w:tblGrid>
      <w:tr>
        <w:tblPrEx>
          <w:tblLayout w:type="fixed"/>
          <w:tblCellMar>
            <w:top w:w="0" w:type="dxa"/>
            <w:left w:w="0" w:type="dxa"/>
            <w:bottom w:w="0" w:type="dxa"/>
            <w:right w:w="0" w:type="dxa"/>
          </w:tblCellMar>
        </w:tblPrEx>
        <w:trPr>
          <w:trHeight w:val="297" w:hRule="atLeast"/>
        </w:trPr>
        <w:tc>
          <w:tcPr>
            <w:tcW w:w="1617"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2" w:hRule="atLeast"/>
        </w:trPr>
        <w:tc>
          <w:tcPr>
            <w:tcW w:w="1617"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重大责任事故罪</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《刑法》规定，在生产、作业中违反有关安全管理的规定，因而发生重大伤亡事故或者造成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其他严重后果的，处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年以下有期徒刑或者拘役；情节特别恶劣的，处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年以下有期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徒刑。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重大责任事故罪，是指在生产、作业中违反有关安全管理的规定，因而发生重大伤亡事故或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者造成其他严重后果的行为</w:t>
            </w:r>
          </w:p>
        </w:tc>
      </w:tr>
      <w:tr>
        <w:tblPrEx>
          <w:tblLayout w:type="fixed"/>
          <w:tblCellMar>
            <w:top w:w="0" w:type="dxa"/>
            <w:left w:w="0" w:type="dxa"/>
            <w:bottom w:w="0" w:type="dxa"/>
            <w:right w:w="0" w:type="dxa"/>
          </w:tblCellMar>
        </w:tblPrEx>
        <w:trPr>
          <w:trHeight w:val="643" w:hRule="atLeast"/>
        </w:trPr>
        <w:tc>
          <w:tcPr>
            <w:tcW w:w="1617"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强令违章冒险作业罪</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《刑法》规定，强令他人违章冒险作业，因而发生重大伤亡事故或者造成其他严重后果的，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年以下有期徒刑或者拘役；情节特别恶劣的，处</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年以上有期徒刑</w:t>
            </w:r>
          </w:p>
        </w:tc>
      </w:tr>
      <w:tr>
        <w:tblPrEx>
          <w:tblLayout w:type="fixed"/>
          <w:tblCellMar>
            <w:top w:w="0" w:type="dxa"/>
            <w:left w:w="0" w:type="dxa"/>
            <w:bottom w:w="0" w:type="dxa"/>
            <w:right w:w="0" w:type="dxa"/>
          </w:tblCellMar>
        </w:tblPrEx>
        <w:trPr>
          <w:trHeight w:val="1276" w:hRule="atLeast"/>
        </w:trPr>
        <w:tc>
          <w:tcPr>
            <w:tcW w:w="1617"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重大劳动安全事故罪</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《刑法》规定，安全生产设施或者安全生产条件不符合国家规定，因而发生重大伤亡事故或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者造成其他严重后果的，对直接负责的主管人员和其他直接责任人员，处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年以下有期徒刑或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者拘役；情节特别恶劣的，处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年以下有期徒刑。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重大劳动安全事故罪，是指安全生产设施或者安全生产条件不符合国家规定，因而发生重大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伤亡事故或者造成其他严重后果的行为</w:t>
            </w:r>
          </w:p>
        </w:tc>
      </w:tr>
      <w:tr>
        <w:tblPrEx>
          <w:tblLayout w:type="fixed"/>
          <w:tblCellMar>
            <w:top w:w="0" w:type="dxa"/>
            <w:left w:w="0" w:type="dxa"/>
            <w:bottom w:w="0" w:type="dxa"/>
            <w:right w:w="0" w:type="dxa"/>
          </w:tblCellMar>
        </w:tblPrEx>
        <w:trPr>
          <w:trHeight w:val="796" w:hRule="atLeast"/>
        </w:trPr>
        <w:tc>
          <w:tcPr>
            <w:tcW w:w="1617"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大型群众性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活动重大事故罪</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《刑法》规定，举办大型群众性活动违反安全管理规定，因而发生重大伤亡事故或者造成其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他严重后果的，对直接负责的主管人员和其他直接责任人员，处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年以下有期徒刑或者拘役；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情节特别恶劣的，处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年以下有期徒刑</w:t>
            </w:r>
          </w:p>
        </w:tc>
      </w:tr>
      <w:tr>
        <w:tblPrEx>
          <w:tblLayout w:type="fixed"/>
          <w:tblCellMar>
            <w:top w:w="0" w:type="dxa"/>
            <w:left w:w="0" w:type="dxa"/>
            <w:bottom w:w="0" w:type="dxa"/>
            <w:right w:w="0" w:type="dxa"/>
          </w:tblCellMar>
        </w:tblPrEx>
        <w:trPr>
          <w:trHeight w:val="796" w:hRule="atLeast"/>
        </w:trPr>
        <w:tc>
          <w:tcPr>
            <w:tcW w:w="1617"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不报、谎报事故罪</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《刑法》规定，在安全事故发生后，负有报告职责的人员不报或者谎报事故情况，贻误事故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抢救，情节严重的，处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年以下有期徒刑或者拘役；情节特别严重的，处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年以下有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期徒刑</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行政处罚概述(表4-2)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表4-2行政处罚概述</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行政处罚由法定的国家机关和组织实施。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行政处罚的对象是实施了违法行为，应当给予处罚的行政相对人。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行政处罚是对违法行为人的制裁，具有惩戒性。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行政处罚必须在法律规定范围内实施。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行政处罚必须依照法定程序实施</w:t>
            </w:r>
          </w:p>
        </w:tc>
      </w:tr>
      <w:tr>
        <w:tblPrEx>
          <w:tblLayout w:type="fixed"/>
          <w:tblCellMar>
            <w:top w:w="0" w:type="dxa"/>
            <w:left w:w="0" w:type="dxa"/>
            <w:bottom w:w="0" w:type="dxa"/>
            <w:right w:w="0" w:type="dxa"/>
          </w:tblCellMar>
        </w:tblPrEx>
        <w:trPr>
          <w:trHeight w:val="103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行政处罚的种类：人身自由罚、行为罚、财产罚、声誉罚。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《行政处罚法》规定，行政处罚的种类：警告；罚款；没收违法所得、没收非法财物；责令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停产停业；暂扣或者吊销许可证、暂扣或者吊销执照；行政拘留；法律、行政法规规定的其他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处罚法定原则。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处罚公正、公开原则。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处罚与教育相结合原则。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权利保障原则。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一事不再罚原则</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行政相对人的权利</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陈述权、申辩权、复议权、诉讼权、索赔权</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处罚设定权的立法配置(表4-3)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表4-3处罚设定权的立法配置</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法律设定的行政处罚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《行政处罚法》规定，法律可以设定各种行政处罚。限制人身自由的行政处罚，只能由法律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行政法规设定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的行政处罚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《行政处罚法》规定，行政法规可以设定除限制人身自由以外的行政处罚。法律对违法行为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已经做出行政处罚规定，行政法规需要做出具体规定的，必须在法律规定的给予行政处罚的行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为、种类和幅度的范围内规定</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地方性法规设定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的行政处罚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《行政处罚法》规定，地方性法规可以设定除限制人身自由、吊销企业营业执照以外的行政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处罚。法律、行政法规对违法行为已经做出行政处罚规定，地方性法规需要做出具体规定的，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必须在法律、行政法规规定的给予行政处罚的行为、种类和幅度的范围内规定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部门规章设定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的行政处罚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国务院部、委员会制定的规章可以在法律、行政法规规定的给予行政处罚的行为、种类和幅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度的范围内做出具体规定。尚未制定法律、行政法规的，前款规定的国务院部、委员会制定的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规章对违反行政管理秩序的行为。可以设定警告或者一定数量罚款的行政处罚</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地方政府规章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设定的行政处罚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省、自治区、直辖市人民政府和省、自治区人民政府所在地的市人民政府以及国务院批准的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较大的市人民政府制订的规章，可以在法律、法规规定的给予行政处罚的行为、种类和幅度的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范围内做出具体规定。尚未制订法律、法规的，上述人民政府制订的规章对违反行政管理秩序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的行为，可以设定警告或者一定数量罚款的行政处罚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处罚的管辖和适用(表4-4)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表4．4处罚的管辖和适用</w:t>
      </w:r>
    </w:p>
    <w:tbl>
      <w:tblPr>
        <w:tblStyle w:val="4"/>
        <w:tblW w:w="8419" w:type="dxa"/>
        <w:tblInd w:w="15" w:type="dxa"/>
        <w:tblLayout w:type="fixed"/>
        <w:tblCellMar>
          <w:top w:w="0" w:type="dxa"/>
          <w:left w:w="0" w:type="dxa"/>
          <w:bottom w:w="0" w:type="dxa"/>
          <w:right w:w="0" w:type="dxa"/>
        </w:tblCellMar>
      </w:tblPr>
      <w:tblGrid>
        <w:gridCol w:w="388"/>
        <w:gridCol w:w="1200"/>
        <w:gridCol w:w="683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管辖</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职能管辖、地域管辖、级别管辖、指定管辖</w:t>
            </w:r>
          </w:p>
        </w:tc>
      </w:tr>
      <w:tr>
        <w:tblPrEx>
          <w:tblLayout w:type="fixed"/>
          <w:tblCellMar>
            <w:top w:w="0" w:type="dxa"/>
            <w:left w:w="0" w:type="dxa"/>
            <w:bottom w:w="0" w:type="dxa"/>
            <w:right w:w="0" w:type="dxa"/>
          </w:tblCellMar>
        </w:tblPrEx>
        <w:trPr>
          <w:trHeight w:val="1598"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应受处罚的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构成要件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必须已经实施了违法行为。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违法行为属于违反行政法规范的性质，行政处罚只能针对违反行政法规范的行为。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实施违法行为的人是具有责任能力的行政管理相对人。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依法应当受到处罚。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《行政处罚法》规定，不满</w:t>
            </w: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岁的人有违法行为，不予行政处罚；精神病人在不能辨认或者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不能控制自己行为时有违法行为的，不予行政处罚</w:t>
            </w:r>
          </w:p>
        </w:tc>
      </w:tr>
      <w:tr>
        <w:tblPrEx>
          <w:tblLayout w:type="fixed"/>
          <w:tblCellMar>
            <w:top w:w="0" w:type="dxa"/>
            <w:left w:w="0" w:type="dxa"/>
            <w:bottom w:w="0" w:type="dxa"/>
            <w:right w:w="0" w:type="dxa"/>
          </w:tblCellMar>
        </w:tblPrEx>
        <w:trPr>
          <w:trHeight w:val="1603"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从轻或者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减轻处罚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根据《行政处罚法》的规定，从轻或者减轻处罚适用以下情况：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已满</w:t>
            </w: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周岁不满</w:t>
            </w: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周岁的人有违法行为的。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主动消除或者减轻违法行为危害后果的。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受他人胁迫有违法行为的。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配合行政机关查处违法行为有立功表现的。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其他依法从轻或者减轻行政处罚的</w:t>
            </w:r>
          </w:p>
        </w:tc>
      </w:tr>
      <w:tr>
        <w:tblPrEx>
          <w:tblLayout w:type="fixed"/>
          <w:tblCellMar>
            <w:top w:w="0" w:type="dxa"/>
            <w:left w:w="0" w:type="dxa"/>
            <w:bottom w:w="0" w:type="dxa"/>
            <w:right w:w="0" w:type="dxa"/>
          </w:tblCellMar>
        </w:tblPrEx>
        <w:trPr>
          <w:trHeight w:val="1123"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不予处罚的规定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《行政处罚法》规定，有下列情形的不予处罚：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不满</w:t>
            </w: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周岁的人有违法行为的。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精神病人在不能辨认或者不能控制自己行为时有违法行为的。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违法行为轻微并及时纠正，没有造成危害后果的</w:t>
            </w:r>
          </w:p>
        </w:tc>
      </w:tr>
      <w:tr>
        <w:tblPrEx>
          <w:tblLayout w:type="fixed"/>
          <w:tblCellMar>
            <w:top w:w="0" w:type="dxa"/>
            <w:left w:w="0" w:type="dxa"/>
            <w:bottom w:w="0" w:type="dxa"/>
            <w:right w:w="0" w:type="dxa"/>
          </w:tblCellMar>
        </w:tblPrEx>
        <w:trPr>
          <w:trHeight w:val="111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追诉时效</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《行政处罚法》规定，违法行为在</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年内未被发现的，不再给予行政处罚。法律另有规定的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前款规定的期限，从违法行为发生之日起计算；违法行为有连续或者继续状态的，从行为终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了之日起计算</w:t>
            </w:r>
          </w:p>
        </w:tc>
      </w:tr>
      <w:tr>
        <w:tblPrEx>
          <w:tblLayout w:type="fixed"/>
          <w:tblCellMar>
            <w:top w:w="0" w:type="dxa"/>
            <w:left w:w="0" w:type="dxa"/>
            <w:bottom w:w="0" w:type="dxa"/>
            <w:right w:w="0" w:type="dxa"/>
          </w:tblCellMar>
        </w:tblPrEx>
        <w:trPr>
          <w:trHeight w:val="792"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适用上的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其他问题</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《行政处罚法》规定，违法行为构成犯罪，人民法院判处拘役或者有期徒刑时，行政机关已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经给予当事人行政拘留的，应当依法折抵相应刑期。违法行为构成犯罪，人民法院判处罚金，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行政机关已经给予当事人罚款的，应当折抵相应罚金</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行政处罚的决定程序(表4-5)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表4-5行政处罚的决定程序</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简易程序</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《行政处罚法》规定，违法事实确凿并有法定依据，对公民处以</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元以下、对法人或者其他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组织处以</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元以下罚款或者警告的行政处罚的．可以当场做出行政处罚决定</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根据《行政处罚法》的规定，一般程序包括：①立案；②调查取证；③审查调查结果；④制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作行政处罚决定书。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《行政处罚法》规定，行政机关在调查或者进行检查时，执法人员不得少于</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人，并应当向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当事人或者有关人员出示证件</w:t>
            </w:r>
          </w:p>
        </w:tc>
      </w:tr>
      <w:tr>
        <w:tblPrEx>
          <w:tblLayout w:type="fixed"/>
          <w:tblCellMar>
            <w:top w:w="0" w:type="dxa"/>
            <w:left w:w="0" w:type="dxa"/>
            <w:bottom w:w="0" w:type="dxa"/>
            <w:right w:w="0" w:type="dxa"/>
          </w:tblCellMar>
        </w:tblPrEx>
        <w:trPr>
          <w:trHeight w:val="239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听证程序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《行政处罚法》规定，行政机关做出责令停产停业、吊销许可证或者执照、较大数额罚款等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行政处罚决定之前，应当告知当事人有要求举行听证的权利；当事人要求听证的，行政机关应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当组织听证。当事人不承担行政机关组织听证的费用。听证依照以下程序组织：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当事人要求听证的，应当在行政机关告知后</w:t>
            </w:r>
            <w:r>
              <w:rPr>
                <w:rFonts w:hint="eastAsia" w:ascii="微软雅黑" w:hAnsi="微软雅黑" w:eastAsia="微软雅黑" w:cs="微软雅黑"/>
                <w:color w:val="000000"/>
                <w:kern w:val="0"/>
                <w:sz w:val="18"/>
                <w:szCs w:val="18"/>
              </w:rPr>
              <w:t>3d</w:t>
            </w:r>
            <w:r>
              <w:rPr>
                <w:rFonts w:hint="eastAsia" w:ascii="微软雅黑" w:hAnsi="微软雅黑" w:eastAsia="微软雅黑" w:cs="微软雅黑"/>
                <w:color w:val="000000"/>
                <w:kern w:val="0"/>
                <w:sz w:val="18"/>
                <w:szCs w:val="18"/>
              </w:rPr>
              <w:t>内提出。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行政机关应当在听证的</w:t>
            </w:r>
            <w:r>
              <w:rPr>
                <w:rFonts w:hint="eastAsia" w:ascii="微软雅黑" w:hAnsi="微软雅黑" w:eastAsia="微软雅黑" w:cs="微软雅黑"/>
                <w:color w:val="000000"/>
                <w:kern w:val="0"/>
                <w:sz w:val="18"/>
                <w:szCs w:val="18"/>
              </w:rPr>
              <w:t>7d</w:t>
            </w:r>
            <w:r>
              <w:rPr>
                <w:rFonts w:hint="eastAsia" w:ascii="微软雅黑" w:hAnsi="微软雅黑" w:eastAsia="微软雅黑" w:cs="微软雅黑"/>
                <w:color w:val="000000"/>
                <w:kern w:val="0"/>
                <w:sz w:val="18"/>
                <w:szCs w:val="18"/>
              </w:rPr>
              <w:t>前，通知当事人举行听证的时间、地点。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除涉及国家秘密、商业秘密或者个人隐私外，听证公开举行。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听证由行政机关指定的非本案调查人员主持；当事人认为主持人与本案有直接利害关系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的，有权申请回避。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当事人可以亲自参加听证，也可以委托</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人代理。</w:t>
            </w:r>
          </w:p>
        </w:tc>
      </w:tr>
      <w:tr>
        <w:tblPrEx>
          <w:tblLayout w:type="fixed"/>
          <w:tblCellMar>
            <w:top w:w="0" w:type="dxa"/>
            <w:left w:w="0" w:type="dxa"/>
            <w:bottom w:w="0" w:type="dxa"/>
            <w:right w:w="0" w:type="dxa"/>
          </w:tblCellMar>
        </w:tblPrEx>
        <w:trPr>
          <w:gridAfter w:val="1"/>
          <w:wAfter w:w="10"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78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听证程序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举行听证时，调查人员提出当事人违法的事实、证据和行政处罚建议；当事人进行申辩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和质证。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听证应当制作笔录；笔录应当交当事人审核无误后签字或者盖章</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行政处罚的执行程序(表4-6)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表4-6行政处罚的执行程序</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实行处罚机关与收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缴罚款机构相分离</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《行政处罚法》规定，做出罚款决定的行政机关应当与收缴罚款的机构分离。除依照《行政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处罚法》第</w:t>
            </w:r>
            <w:r>
              <w:rPr>
                <w:rFonts w:hint="eastAsia" w:ascii="微软雅黑" w:hAnsi="微软雅黑" w:eastAsia="微软雅黑" w:cs="微软雅黑"/>
                <w:color w:val="000000"/>
                <w:kern w:val="0"/>
                <w:sz w:val="18"/>
                <w:szCs w:val="18"/>
              </w:rPr>
              <w:t>47</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条的规定当场收缴的罚款外，做出行政处罚决定的行政机关及其执法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人员不得自行收缴罚款。</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28" w:type="dxa"/>
        <w:tblInd w:w="15" w:type="dxa"/>
        <w:tblLayout w:type="fixed"/>
        <w:tblCellMar>
          <w:top w:w="0" w:type="dxa"/>
          <w:left w:w="0" w:type="dxa"/>
          <w:bottom w:w="0" w:type="dxa"/>
          <w:right w:w="0" w:type="dxa"/>
        </w:tblCellMar>
      </w:tblPr>
      <w:tblGrid>
        <w:gridCol w:w="1598"/>
        <w:gridCol w:w="6830"/>
      </w:tblGrid>
      <w:tr>
        <w:tblPrEx>
          <w:tblLayout w:type="fixed"/>
          <w:tblCellMar>
            <w:top w:w="0" w:type="dxa"/>
            <w:left w:w="0" w:type="dxa"/>
            <w:bottom w:w="0" w:type="dxa"/>
            <w:right w:w="0" w:type="dxa"/>
          </w:tblCellMar>
        </w:tblPrEx>
        <w:trPr>
          <w:trHeight w:val="297"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331"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实行处罚机关与收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缴罚款机构相分离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当事人应当自收到行政处罚决定书之日起</w:t>
            </w:r>
            <w:r>
              <w:rPr>
                <w:rFonts w:hint="eastAsia" w:ascii="微软雅黑" w:hAnsi="微软雅黑" w:eastAsia="微软雅黑" w:cs="微软雅黑"/>
                <w:color w:val="000000"/>
                <w:kern w:val="0"/>
                <w:sz w:val="18"/>
                <w:szCs w:val="18"/>
              </w:rPr>
              <w:t>15d</w:t>
            </w:r>
            <w:r>
              <w:rPr>
                <w:rFonts w:hint="eastAsia" w:ascii="微软雅黑" w:hAnsi="微软雅黑" w:eastAsia="微软雅黑" w:cs="微软雅黑"/>
                <w:color w:val="000000"/>
                <w:kern w:val="0"/>
                <w:sz w:val="18"/>
                <w:szCs w:val="18"/>
              </w:rPr>
              <w:t>内，到指定的银行缴纳罚款。银行应当收受罚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款，并将罚款直接上缴国库。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依照《行政处罚法》第</w:t>
            </w:r>
            <w:r>
              <w:rPr>
                <w:rFonts w:hint="eastAsia" w:ascii="微软雅黑" w:hAnsi="微软雅黑" w:eastAsia="微软雅黑" w:cs="微软雅黑"/>
                <w:color w:val="000000"/>
                <w:kern w:val="0"/>
                <w:sz w:val="18"/>
                <w:szCs w:val="18"/>
              </w:rPr>
              <w:t>33</w:t>
            </w:r>
            <w:r>
              <w:rPr>
                <w:rFonts w:hint="eastAsia" w:ascii="微软雅黑" w:hAnsi="微软雅黑" w:eastAsia="微软雅黑" w:cs="微软雅黑"/>
                <w:color w:val="000000"/>
                <w:kern w:val="0"/>
                <w:sz w:val="18"/>
                <w:szCs w:val="18"/>
              </w:rPr>
              <w:t>条的规定，当场做出行政处罚决定，有下列情形之一的，执法人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员可以当场收缴罚款：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依法给予</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元以下的罚款的。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不当场收缴事后难以执行的。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在边远、水上、交通不便地区，行政机关及其执法人员依照《行政处罚法》第</w:t>
            </w:r>
            <w:r>
              <w:rPr>
                <w:rFonts w:hint="eastAsia" w:ascii="微软雅黑" w:hAnsi="微软雅黑" w:eastAsia="微软雅黑" w:cs="微软雅黑"/>
                <w:color w:val="000000"/>
                <w:kern w:val="0"/>
                <w:sz w:val="18"/>
                <w:szCs w:val="18"/>
              </w:rPr>
              <w:t>33</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38</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条的规定做出罚款决定后，当事人向指定的银行缴纳罚款确有困难，经当事人提出，行政机关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及其执法人员可以当场收缴罚款。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行政机关及其执法人员当场收缴罚款的，必须向当事人出具省、自治区、直辖市财政部门统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一制发的罚款收据；不出具财政部门统一制发的罚款收据的，当事人有权拒绝缴纳罚款。执法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人员当场收缴的罚款，应当自收缴罚款之日起</w:t>
            </w:r>
            <w:r>
              <w:rPr>
                <w:rFonts w:hint="eastAsia" w:ascii="微软雅黑" w:hAnsi="微软雅黑" w:eastAsia="微软雅黑" w:cs="微软雅黑"/>
                <w:color w:val="000000"/>
                <w:kern w:val="0"/>
                <w:sz w:val="18"/>
                <w:szCs w:val="18"/>
              </w:rPr>
              <w:t>2d</w:t>
            </w:r>
            <w:r>
              <w:rPr>
                <w:rFonts w:hint="eastAsia" w:ascii="微软雅黑" w:hAnsi="微软雅黑" w:eastAsia="微软雅黑" w:cs="微软雅黑"/>
                <w:color w:val="000000"/>
                <w:kern w:val="0"/>
                <w:sz w:val="18"/>
                <w:szCs w:val="18"/>
              </w:rPr>
              <w:t>内，交至行政机关；在水上当场收缴的罚款，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应当自抵岸之日起</w:t>
            </w:r>
            <w:r>
              <w:rPr>
                <w:rFonts w:hint="eastAsia" w:ascii="微软雅黑" w:hAnsi="微软雅黑" w:eastAsia="微软雅黑" w:cs="微软雅黑"/>
                <w:color w:val="000000"/>
                <w:kern w:val="0"/>
                <w:sz w:val="18"/>
                <w:szCs w:val="18"/>
              </w:rPr>
              <w:t>2d</w:t>
            </w:r>
            <w:r>
              <w:rPr>
                <w:rFonts w:hint="eastAsia" w:ascii="微软雅黑" w:hAnsi="微软雅黑" w:eastAsia="微软雅黑" w:cs="微软雅黑"/>
                <w:color w:val="000000"/>
                <w:kern w:val="0"/>
                <w:sz w:val="18"/>
                <w:szCs w:val="18"/>
              </w:rPr>
              <w:t>内交至行政机关；行政机关应当在</w:t>
            </w:r>
            <w:r>
              <w:rPr>
                <w:rFonts w:hint="eastAsia" w:ascii="微软雅黑" w:hAnsi="微软雅黑" w:eastAsia="微软雅黑" w:cs="微软雅黑"/>
                <w:color w:val="000000"/>
                <w:kern w:val="0"/>
                <w:sz w:val="18"/>
                <w:szCs w:val="18"/>
              </w:rPr>
              <w:t>2d</w:t>
            </w:r>
            <w:r>
              <w:rPr>
                <w:rFonts w:hint="eastAsia" w:ascii="微软雅黑" w:hAnsi="微软雅黑" w:eastAsia="微软雅黑" w:cs="微软雅黑"/>
                <w:color w:val="000000"/>
                <w:kern w:val="0"/>
                <w:sz w:val="18"/>
                <w:szCs w:val="18"/>
              </w:rPr>
              <w:t>内将罚款缴付指定的银行</w:t>
            </w:r>
          </w:p>
        </w:tc>
      </w:tr>
      <w:tr>
        <w:tblPrEx>
          <w:tblLayout w:type="fixed"/>
          <w:tblCellMar>
            <w:top w:w="0" w:type="dxa"/>
            <w:left w:w="0" w:type="dxa"/>
            <w:bottom w:w="0" w:type="dxa"/>
            <w:right w:w="0" w:type="dxa"/>
          </w:tblCellMar>
        </w:tblPrEx>
        <w:trPr>
          <w:trHeight w:val="1118"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严格实行收支两条线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《行政处罚法》规定，罚款、没收违法所得或者没收非法财物拍卖的款项，必须全部上缴国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库，任何行政机关或者个人不得以任何形式截留、私分或者变相私分；财政部门不得以任何形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式向做出行政处罚决定的行政机关返还罚款、没收的违法所得或者返还没收非法财物的拍卖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款项</w:t>
            </w:r>
          </w:p>
        </w:tc>
      </w:tr>
      <w:tr>
        <w:tblPrEx>
          <w:tblLayout w:type="fixed"/>
          <w:tblCellMar>
            <w:top w:w="0" w:type="dxa"/>
            <w:left w:w="0" w:type="dxa"/>
            <w:bottom w:w="0" w:type="dxa"/>
            <w:right w:w="0" w:type="dxa"/>
          </w:tblCellMar>
        </w:tblPrEx>
        <w:trPr>
          <w:trHeight w:val="1756"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行政处罚的强制执行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《行政处罚法》规定，行政处罚依法做出后，当事人应当在行政处罚决定的期限内，予以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履行。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当事人对行政处罚决定不服申请行政复议或者提起行政诉讼的，行政处罚不停止执行，法律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另有规定的除外。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根据《行政处罚法》的规定实行强制执行有三种措施：①到期不缴纳罚款的，每日按罚款数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额的</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％加处罚款；②根据法律规定，将查封、扣押的财物拍卖或者将冻结的存款划拨抵缴罚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款；③申请人民法院强制执行</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行政许可的特征、种类、原则及设定权限(表4-7)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表4-7行政许可的特征、种类．原则及设定权限</w:t>
      </w:r>
    </w:p>
    <w:tbl>
      <w:tblPr>
        <w:tblStyle w:val="4"/>
        <w:tblW w:w="8568" w:type="dxa"/>
        <w:tblInd w:w="15" w:type="dxa"/>
        <w:tblLayout w:type="fixed"/>
        <w:tblCellMar>
          <w:top w:w="0" w:type="dxa"/>
          <w:left w:w="0" w:type="dxa"/>
          <w:bottom w:w="0" w:type="dxa"/>
          <w:right w:w="0" w:type="dxa"/>
        </w:tblCellMar>
      </w:tblPr>
      <w:tblGrid>
        <w:gridCol w:w="1742"/>
        <w:gridCol w:w="6826"/>
      </w:tblGrid>
      <w:tr>
        <w:tblPrEx>
          <w:tblLayout w:type="fixed"/>
          <w:tblCellMar>
            <w:top w:w="0" w:type="dxa"/>
            <w:left w:w="0" w:type="dxa"/>
            <w:bottom w:w="0" w:type="dxa"/>
            <w:right w:w="0" w:type="dxa"/>
          </w:tblCellMar>
        </w:tblPrEx>
        <w:trPr>
          <w:trHeight w:val="302" w:hRule="atLeast"/>
        </w:trPr>
        <w:tc>
          <w:tcPr>
            <w:tcW w:w="1742"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6"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2" w:hRule="atLeast"/>
        </w:trPr>
        <w:tc>
          <w:tcPr>
            <w:tcW w:w="174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行政许可是一种行政行为。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行政许可是依据申请的行政行为。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行政许可是有限设禁和解禁的行政行为。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行政许可是授益性行政行为。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行政许可是要式行政行为</w:t>
            </w:r>
          </w:p>
        </w:tc>
      </w:tr>
      <w:tr>
        <w:tblPrEx>
          <w:tblLayout w:type="fixed"/>
          <w:tblCellMar>
            <w:top w:w="0" w:type="dxa"/>
            <w:left w:w="0" w:type="dxa"/>
            <w:bottom w:w="0" w:type="dxa"/>
            <w:right w:w="0" w:type="dxa"/>
          </w:tblCellMar>
        </w:tblPrEx>
        <w:trPr>
          <w:trHeight w:val="1281" w:hRule="atLeast"/>
        </w:trPr>
        <w:tc>
          <w:tcPr>
            <w:tcW w:w="174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《行政许可法》将行政许可分为五类：一般许可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或称普通许可</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、特许、认可、核准和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登记。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行为许可与资格许可。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权利性许可与附义务许可。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长期许可、短期许可与临时许可</w:t>
            </w:r>
          </w:p>
        </w:tc>
      </w:tr>
      <w:tr>
        <w:tblPrEx>
          <w:tblLayout w:type="fixed"/>
          <w:tblCellMar>
            <w:top w:w="0" w:type="dxa"/>
            <w:left w:w="0" w:type="dxa"/>
            <w:bottom w:w="0" w:type="dxa"/>
            <w:right w:w="0" w:type="dxa"/>
          </w:tblCellMar>
        </w:tblPrEx>
        <w:trPr>
          <w:trHeight w:val="1276" w:hRule="atLeast"/>
        </w:trPr>
        <w:tc>
          <w:tcPr>
            <w:tcW w:w="174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许可法定原则。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许可公开、公平、公正原则。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许可便民、效率原则。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保障被许可人合法权利原则。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许可监督检查原则</w:t>
            </w:r>
          </w:p>
        </w:tc>
      </w:tr>
      <w:tr>
        <w:tblPrEx>
          <w:tblLayout w:type="fixed"/>
          <w:tblCellMar>
            <w:top w:w="0" w:type="dxa"/>
            <w:left w:w="0" w:type="dxa"/>
            <w:bottom w:w="0" w:type="dxa"/>
            <w:right w:w="0" w:type="dxa"/>
          </w:tblCellMar>
        </w:tblPrEx>
        <w:trPr>
          <w:trHeight w:val="2308" w:hRule="atLeast"/>
        </w:trPr>
        <w:tc>
          <w:tcPr>
            <w:tcW w:w="174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设定权限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6"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法律、法规、规章的设定权包括：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法律可以根据需要设定任何一种形式的许可。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行政法规除有权对法律设定的许可作具体规定外，还可以根据需要，在不违反法律、不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侵害公民法人合法权益情况下设定其他许可。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地方性法规除对法律法规设定的许可作具体规定外，有权在本辖区内结合地方特色和需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要设定许可，但不得违反法律、行政法规，不得妨碍国家统一的管理权限和公民人身自由和财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规章有权根据需要就法定事项规定许可标准、许可条件、许可程序和其他内容，但不得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与法律法规相抵触。规章以下规范性文件不得规定任何行政许可</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行政许可的实施程序(表4-8)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表4-8行政许可的实施程序</w:t>
      </w:r>
    </w:p>
    <w:tbl>
      <w:tblPr>
        <w:tblStyle w:val="4"/>
        <w:tblW w:w="8486" w:type="dxa"/>
        <w:tblInd w:w="15" w:type="dxa"/>
        <w:tblLayout w:type="fixed"/>
        <w:tblCellMar>
          <w:top w:w="0" w:type="dxa"/>
          <w:left w:w="0" w:type="dxa"/>
          <w:bottom w:w="0" w:type="dxa"/>
          <w:right w:w="0" w:type="dxa"/>
        </w:tblCellMar>
      </w:tblPr>
      <w:tblGrid>
        <w:gridCol w:w="1656"/>
        <w:gridCol w:w="6830"/>
      </w:tblGrid>
      <w:tr>
        <w:tblPrEx>
          <w:tblLayout w:type="fixed"/>
          <w:tblCellMar>
            <w:top w:w="0" w:type="dxa"/>
            <w:left w:w="0" w:type="dxa"/>
            <w:bottom w:w="0" w:type="dxa"/>
            <w:right w:w="0" w:type="dxa"/>
          </w:tblCellMar>
        </w:tblPrEx>
        <w:trPr>
          <w:trHeight w:val="297" w:hRule="atLeast"/>
        </w:trPr>
        <w:tc>
          <w:tcPr>
            <w:tcW w:w="1656"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78" w:hRule="atLeast"/>
        </w:trPr>
        <w:tc>
          <w:tcPr>
            <w:tcW w:w="165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申请与受理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《行政许可法》规定，行政机关不得要求申请人提交与其申请事项的行政许可事项无关的技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术资料和其他材料。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行政许可机关在对申请材料进行形式上审查后，可能会做出：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及时告知不受理。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及时做出不予受理决定。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允许当事人当场更正。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告知申请人进行补正后提出申请。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直接接受申请</w:t>
            </w:r>
          </w:p>
        </w:tc>
      </w:tr>
      <w:tr>
        <w:tblPrEx>
          <w:tblLayout w:type="fixed"/>
          <w:tblCellMar>
            <w:top w:w="0" w:type="dxa"/>
            <w:left w:w="0" w:type="dxa"/>
            <w:bottom w:w="0" w:type="dxa"/>
            <w:right w:w="0" w:type="dxa"/>
          </w:tblCellMar>
        </w:tblPrEx>
        <w:trPr>
          <w:trHeight w:val="1123" w:hRule="atLeast"/>
        </w:trPr>
        <w:tc>
          <w:tcPr>
            <w:tcW w:w="1656"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审查与决定</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申请人提交的申请材料齐全、符合法定形式，行政机关能够当场做出决定的，应当当场做出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书面的行政许可决定。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根据《行政许可法》的规定，行政许可决定的类型主要有两种形式，即准予行政许可的决定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和不予许可的决定</w:t>
            </w:r>
          </w:p>
        </w:tc>
      </w:tr>
      <w:tr>
        <w:tblPrEx>
          <w:tblLayout w:type="fixed"/>
          <w:tblCellMar>
            <w:top w:w="0" w:type="dxa"/>
            <w:left w:w="0" w:type="dxa"/>
            <w:bottom w:w="0" w:type="dxa"/>
            <w:right w:w="0" w:type="dxa"/>
          </w:tblCellMar>
        </w:tblPrEx>
        <w:trPr>
          <w:trHeight w:val="2236" w:hRule="atLeast"/>
        </w:trPr>
        <w:tc>
          <w:tcPr>
            <w:tcW w:w="1656"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行政许可的昕证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行政机关应当于举行听证的</w:t>
            </w:r>
            <w:r>
              <w:rPr>
                <w:rFonts w:hint="eastAsia" w:ascii="微软雅黑" w:hAnsi="微软雅黑" w:eastAsia="微软雅黑" w:cs="微软雅黑"/>
                <w:color w:val="000000"/>
                <w:kern w:val="0"/>
                <w:sz w:val="18"/>
                <w:szCs w:val="18"/>
              </w:rPr>
              <w:t>7d</w:t>
            </w:r>
            <w:r>
              <w:rPr>
                <w:rFonts w:hint="eastAsia" w:ascii="微软雅黑" w:hAnsi="微软雅黑" w:eastAsia="微软雅黑" w:cs="微软雅黑"/>
                <w:color w:val="000000"/>
                <w:kern w:val="0"/>
                <w:sz w:val="18"/>
                <w:szCs w:val="18"/>
              </w:rPr>
              <w:t>前将举证的时间、地点通知申请人，利害关系人，必要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时予以公告。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听证应当公开举行。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行政机关应当指定审查该行政许可申请的工作人员以外的人员为听证主持人，申请人、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利害关系人认为主持人与该行政许可事项有直接利害关系的，有权申请回避。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举行听证时，审查该行政许可申请的工作人员应当提供审查意见的证据、理由，申请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人、利害关系人可以提出证据，并进行申辩和质证。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听证应当制作笔录，听证笔录应当交听证参加人确认无误后或者盖章。行政机关应当根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据听证笔录，做出行政许可决定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行政相对人的法律责任(表4-9)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表4．9行政相对人的法律责任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违法行为</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法律责任</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隐瞒有关情况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或者提供虚假材料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申请行政许可的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行政许可申请人隐瞒有关情况或者提供虚假材料申请行政许可的，行政机关不予受理或者不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予行政许可，并给予警告；行政许可申请属于直接关系公共安全、人身健康、生命财产安全事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项的，申请人在</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年内不得再次申请该行政许可</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以欺骗、贿赂等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不正当手段取得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被许可人以欺骗、贿赂等不正当手段取得行政许可的，行政机关应当依法给予行政处罚；取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得的行政许可属于直接关系公共安全、人身健康、生命财产安全事项的，申请人在</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年内不得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再次申请该行政许可；构成犯罪的，依法追究刑事责任</w:t>
            </w:r>
          </w:p>
        </w:tc>
      </w:tr>
      <w:tr>
        <w:tblPrEx>
          <w:tblLayout w:type="fixed"/>
          <w:tblCellMar>
            <w:top w:w="0" w:type="dxa"/>
            <w:left w:w="0" w:type="dxa"/>
            <w:bottom w:w="0" w:type="dxa"/>
            <w:right w:w="0" w:type="dxa"/>
          </w:tblCellMar>
        </w:tblPrEx>
        <w:trPr>
          <w:trHeight w:val="17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应给以行政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处罚或追究刑事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责任的行为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被许可人有下列行为之一的，行政机关应当依法给予行政处罚；构成犯罪的，依法追究刑事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涂改、倒卖、出租、出借行政许可证件，或者以其他形式非法转让行政许可的。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超越行政许可范围进行活动的。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向负责监督检查的行政机关隐瞒有关情况、提供虚假材料或者拒绝提供反映其活动情况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的真实材料的。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法律、法规、规章规定的其他违法行为</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未经行政许可，擅自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从事依法应当取得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行政许可的活动的</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公民、法人或者其他组织未经行政许可，擅自从事依法应当取得行政许可的活动的，行政机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关应当依法采取措施予以制止，并依法给予行政处罚；构成犯罪的，依法追究刑事责任</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女职工和未成年工的特殊保护</w:t>
      </w:r>
      <w:r>
        <w:rPr>
          <w:rFonts w:hint="eastAsia" w:ascii="微软雅黑" w:hAnsi="微软雅黑" w:eastAsia="微软雅黑" w:cs="微软雅黑"/>
          <w:color w:val="000000"/>
          <w:sz w:val="18"/>
          <w:szCs w:val="18"/>
        </w:rPr>
        <w:t>(表4-10)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4-10女职工和未成年工的特殊保护</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6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女职工保护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禁止用人单位安排女工从事矿山井下、国家规定的第四级体力劳动强度的劳动和其他禁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忌从事的劳动。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禁止用人单位安排女职工在经期从事高处、低温、冷水作业和国家规定的第三级体力劳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动强度的劳动。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禁止用人单位安排女职工在怀孕期间从事国家规定的第三级体力劳动强度的劳动和孕期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禁忌从事的活动。对怀孕</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个月以上的职工，不得安排其延长工作时间和夜班劳动。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禁止用人单位安排女职工在哺乳未满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周岁婴儿期间从事国家规定的第三级体力劳动强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度的劳动和哺乳期禁忌从事的其他劳动，不得延长其工作时问和夜班劳动</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未成年工保护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未成年工是指年满</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周岁未满</w:t>
            </w: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周岁的劳动者。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禁止用人单位安排未成年工从事矿山井下、有毒有害、国家规定的第四级体力劳动强度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的劳动和其他禁忌从事的劳动。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要求用人单位应当对未成年工定期进行健康检查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劳动安全卫生监督检查的规定(表4-11)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表4-11劳动安全卫生监督检查的规定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4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劳动监察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县级以上各级人民政府劳动行政部门依法对用人单位遵守劳动法律、法规的情况进行监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督检查．对违反劳动法律、法规的行为有权制止，并责令改正。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县级以上各级人民政府劳动行政部门监督检查人员执行公务，有权进入用人单位了解执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行劳动法律、法规的情况，查阅必要的资料，并对劳动场所进行检查。县级以上各级人民政府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劳动行政部门监督检查人员执行公务，必须出示证件，秉公执法并遵守有关规定</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有关部门的监督</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县级以上各级人民政府有关部门在各自职责范围内，对用人单位遵守劳动法律、法规的情况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进行监督</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工会的监督</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各级工会依法维护劳动者的合法权益，对用人单位遵守劳动法律、法规的情况进行监督。任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何组织和个人对于违反劳动法律、法规的行为有权检举和控告</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职业病的范围及基本制度(表4-12)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4-12职业病的范围及基本制度</w:t>
      </w:r>
    </w:p>
    <w:tbl>
      <w:tblPr>
        <w:tblStyle w:val="4"/>
        <w:tblW w:w="8419" w:type="dxa"/>
        <w:tblInd w:w="15" w:type="dxa"/>
        <w:tblLayout w:type="fixed"/>
        <w:tblCellMar>
          <w:top w:w="0" w:type="dxa"/>
          <w:left w:w="0" w:type="dxa"/>
          <w:bottom w:w="0" w:type="dxa"/>
          <w:right w:w="0" w:type="dxa"/>
        </w:tblCellMar>
      </w:tblPr>
      <w:tblGrid>
        <w:gridCol w:w="1588"/>
        <w:gridCol w:w="6821"/>
        <w:gridCol w:w="10"/>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依据《职业病防治法》的规定，职业病是指企业、事业单位和个体经济组织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以下统称用人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的劳动者在职业活动中，因接触粉尘、放射性物质和其他有毒、有害物质等因素而引起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的疾病。职业病的分类和目录由国务院卫生行政部门会同国务院劳动保障行政部门规定、调整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并公布</w:t>
            </w:r>
          </w:p>
        </w:tc>
      </w:tr>
      <w:tr>
        <w:tblPrEx>
          <w:tblLayout w:type="fixed"/>
          <w:tblCellMar>
            <w:top w:w="0" w:type="dxa"/>
            <w:left w:w="0" w:type="dxa"/>
            <w:bottom w:w="0" w:type="dxa"/>
            <w:right w:w="0" w:type="dxa"/>
          </w:tblCellMar>
        </w:tblPrEx>
        <w:trPr>
          <w:gridAfter w:val="1"/>
          <w:wAfter w:w="10"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0" w:type="dxa"/>
          <w:trHeight w:val="156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职业病的基本制度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预防为主、防治结合。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劳动者依法享有职业卫生保护的权利。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实行用人单位职业病防治责任制。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依法参加工伤社会保险。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国家实行职业卫生监督制度。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加强社会监督</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职业病的前期预防(表4-13)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表4-13职业病的前期预防</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工作场所的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《职业病防治法》规定，产生职业病危害的用人单位的没立除应当符合法律、行政法规规定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的设立条件外，其工作场所还应当符合下列职业卫生要求：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职业病危害因素的强度或者浓度符合国家职业卫生标准。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有与职业病危害防护丰</w:t>
            </w:r>
            <w:r>
              <w:rPr>
                <w:rFonts w:hint="eastAsia" w:ascii="微软雅黑" w:hAnsi="微软雅黑" w:eastAsia="微软雅黑" w:cs="微软雅黑"/>
                <w:color w:val="000000"/>
                <w:kern w:val="0"/>
                <w:sz w:val="18"/>
                <w:szCs w:val="18"/>
              </w:rPr>
              <w:t>H</w:t>
            </w:r>
            <w:r>
              <w:rPr>
                <w:rFonts w:hint="eastAsia" w:ascii="微软雅黑" w:hAnsi="微软雅黑" w:eastAsia="微软雅黑" w:cs="微软雅黑"/>
                <w:color w:val="000000"/>
                <w:kern w:val="0"/>
                <w:sz w:val="18"/>
                <w:szCs w:val="18"/>
              </w:rPr>
              <w:t>适应的设施。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生产布局合理，符合有害与无害作业分开的原则。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有配套的更衣间、洗浴间、孕妇休息问等卫生设施。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设备、</w:t>
            </w:r>
            <w:r>
              <w:rPr>
                <w:rFonts w:hint="eastAsia" w:ascii="微软雅黑" w:hAnsi="微软雅黑" w:eastAsia="微软雅黑" w:cs="微软雅黑"/>
                <w:color w:val="000000"/>
                <w:kern w:val="0"/>
                <w:sz w:val="18"/>
                <w:szCs w:val="18"/>
              </w:rPr>
              <w:t>_T</w:t>
            </w:r>
            <w:r>
              <w:rPr>
                <w:rFonts w:hint="eastAsia" w:ascii="微软雅黑" w:hAnsi="微软雅黑" w:eastAsia="微软雅黑" w:cs="微软雅黑"/>
                <w:color w:val="000000"/>
                <w:kern w:val="0"/>
                <w:sz w:val="18"/>
                <w:szCs w:val="18"/>
              </w:rPr>
              <w:t>具、用具等设施符合保护劳动者生理、心理健康的要求。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法律、行政法规和国务院卫生行政部门、安全生产监督管理部门关于保护劳动者健康的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其他要求</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职业病危害项目申报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《职业病防治法》规定，同家建立职业病危害项目申报制度。用人单位工作场所存在职业病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目录所列职业病的危害因素的，应当及时、如实向所在地安全生产监督管理部门申报危害项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目，接受监督</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病危害预评价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《职业病防治法》规定，新建、扩建、改建建设项目和技术改造、技术引进项目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可能产生职业病危害的，建设单位在可行性论证阶段应当进行职业病危害预评价。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医疗机构建设项目可能产生放射性职业病危害的，建设单位应当向卫生行政部门提交放射性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职业病危害预评价报告。卫生行政部门应当自收到预评价报告之日起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日内，做出审核决定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并书面通知建设单位。未提交预评价报告或者预评价报告未经卫生行政部门审核同意的，不得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开工建设</w:t>
            </w:r>
          </w:p>
        </w:tc>
      </w:tr>
      <w:tr>
        <w:tblPrEx>
          <w:tblLayout w:type="fixed"/>
          <w:tblCellMar>
            <w:top w:w="0" w:type="dxa"/>
            <w:left w:w="0" w:type="dxa"/>
            <w:bottom w:w="0" w:type="dxa"/>
            <w:right w:w="0" w:type="dxa"/>
          </w:tblCellMar>
        </w:tblPrEx>
        <w:trPr>
          <w:trHeight w:val="135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职业病危害防护设施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建设项目的职业病防护设施所需费用应当纳入建设项目工程预算，并与主体工程同时设计，同时施工，同时投入生产和使用。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建设项目的职业病防护设施设计应当符合国家职业卫生标准和卫生要求；其中，医疗机构放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射性职业病危害严重的建设项目的防护设施设计．应当经卫生行政部门审查同意后，方可施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工。建设项目在竣工验收前，建设单位应当进行职业病危害控制效果评价</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用人单位职业病管理(表4-14)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表4</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14用人单位职业病管理</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9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职业危害公告和警示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《职业病防治法》规定．产生职业病危害的用人单位．应当在醒目位置设置公告栏，公布有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关职业病防治的规章制度、操作规程、职业病危害事故应急救援措施和：亡作场所职业病危害因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素检测结果。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《职业病防治法》规定，对可能发生急性职业损伤的有毒、有害工作场所。用人单位应当设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置报警装置。配置现场急救用品、冲洗设备、应急撤离通道和必要的泄险区。对放射工作场所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和放射性同位素的运输、储存，用人单位必须配置防护设备和报警装置，保证接触放射线的工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作人员佩戴个人剂量计</w:t>
            </w:r>
          </w:p>
        </w:tc>
      </w:tr>
      <w:tr>
        <w:tblPrEx>
          <w:tblLayout w:type="fixed"/>
          <w:tblCellMar>
            <w:top w:w="0" w:type="dxa"/>
            <w:left w:w="0" w:type="dxa"/>
            <w:bottom w:w="0" w:type="dxa"/>
            <w:right w:w="0" w:type="dxa"/>
          </w:tblCellMar>
        </w:tblPrEx>
        <w:trPr>
          <w:trHeight w:val="254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因素的监测、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检测、评价及治理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《职业病防治法》规定，用人单位应当实施由专人负责的职业病危害因素日常监测，并确保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监测系统处于正常运行状态。用人单位应当按照国务院安全生产监督管理部门的规定，定期对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工作场所进行职业病危害因素检测、评价。检测、评价结果存入用人单位职业卫生档案，定期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向所在地安全生产监督管理部门报告并向劳动者公布。职业病危害因素检测、评价由依法设立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的取得国务院安全生产监督管理部门或者设区的市级以上地方人民政府安全生产监督管理部门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按照职责分工给予资质认可的职业卫生技术服务机构进行。发现工作场所职业病危害因素不符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合国家职业卫生标准和卫生要求时，用人单位应当立即采取相应治理措施，仍然达不到国家职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业卫生标准和卫生要求的，必须停止存在职业病危害因素的作业；职业病危害因素经治理后，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符合国家职业卫生标准和卫生要求的，方可重新作业</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向用人单位提供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可能产生职业危害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的设备的规定要求</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《职业病防治法》规定，向用人单位提供可能产生职业病危害的设备的，应当提供中文说明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书，并在设备的醒目位置设置警示标识和中文警示说明</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90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向用人单位提供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可能产生职业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危害的化学原料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及放射性物质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的物品的规定要求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《职业病防治法》规定，向用人单位提供可能产生职业病危害的化学品、放射性同位素和含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有放射性物质的材料的，应当提供中文说明书。说明书应当载明产品特性、主要成分、存在的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有害因素、可能产生的危害后果、安全使用注意事项、职业病防护以及应急救治措施等内容。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产品包装应当有醒目的警示标识和中文警示说明。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国内首次使用或者首次进口与职业病危害有关的化学材料，使用单位或者进口单位按照国家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规定经国务院有关部门批准后，应当向国务院卫生行政部门、安全生产监督管理部门报送该化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学材料的毒性鉴定以及经有关部门登记注册或者批准进口的文件等资料</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劳动合同的职业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病危害内容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《职业病防治法》规定，用人单位与劳动者订立劳动合同时，应当将工作过程中可能产生的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职业病危害及其后果、职业病防护措施和待遇等如实告诉劳动者，并在劳动合同中写明，不得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隐瞒或者欺骗。劳动者在已订立劳动合同期间，因丁作岗位或者工作内容变更，从事与所订立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劳动合同中未告知的存在职业病危害的作业时，用人单位应当依照上述规定，向劳动者履行如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实告知的义务，并协商变更原劳动合同相关条款</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职业卫生培训要求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《职业病防治法》规定，用人单位的主要负责人和职业卫生管理人员应当接受职业卫生培训，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遵守职业病防治法律、法规，依法组织本单位的职业病防治工作</w:t>
            </w:r>
          </w:p>
        </w:tc>
      </w:tr>
      <w:tr>
        <w:tblPrEx>
          <w:tblLayout w:type="fixed"/>
          <w:tblCellMar>
            <w:top w:w="0" w:type="dxa"/>
            <w:left w:w="0" w:type="dxa"/>
            <w:bottom w:w="0" w:type="dxa"/>
            <w:right w:w="0" w:type="dxa"/>
          </w:tblCellMar>
        </w:tblPrEx>
        <w:trPr>
          <w:trHeight w:val="207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职业健康检查制度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《职业病防治法》规定，对从事接触职业病危害的作业的劳动者．用人单位应当按照国务院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安全生产监督管理部门、卫生行政部门的规定组织上岗前、在岗期间和离岗时的职业健康检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查，并将检查结果如实告知劳动者。职业健康检查费用由用人单位承担。用人单位不得安排未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经上岗前职业健康检查的劳动者从事接触职业病危害的作业；不得安排有职业禁忌的劳动者从</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事其所禁忌的作业；对在职业健康检查中发现有与所从事的职业相关的健康损害的劳动者，应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当调离原工作岗位，并妥善安置；对未进行离岗前职业健康检查的劳动者不得解除或者终止与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其订立的劳动合同。职业健康检查应当由省级以上人民政府卫生行政部门批准的医疗卫生机构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承担</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职业健康监护档案</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《职业病防治法》规定，用人单位应当为劳动者建立职业健康监护档案，并按照规定的期限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妥善保存。职业健康监护档案应当包括劳动者的职业史、职业病危害接触史、职业健康检查结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果和职业病诊疗等有关个人健康资料</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急性职业病危害事故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《职业病防治法》规定，发生或者可能发生急性职业病危害事故时，用人单位应当立即采取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应急救援和控制措施，并及时报告所在地安全生产监督管理部门和有关部门。对遭受或者可能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遭受急性职业病危害的劳动者，用人单位应当及时组织救治、进行健康检查和医学观察，所需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费用由用人单位承担</w:t>
            </w:r>
          </w:p>
        </w:tc>
      </w:tr>
      <w:tr>
        <w:tblPrEx>
          <w:tblLayout w:type="fixed"/>
          <w:tblCellMar>
            <w:top w:w="0" w:type="dxa"/>
            <w:left w:w="0" w:type="dxa"/>
            <w:bottom w:w="0" w:type="dxa"/>
            <w:right w:w="0" w:type="dxa"/>
          </w:tblCellMar>
        </w:tblPrEx>
        <w:trPr>
          <w:trHeight w:val="255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劳动者享有的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职业卫生保护权利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《职业病防治法》规定，劳动者享有下列职业卫生保护权利：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获得职业卫生教育、培训。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获得职业健康检查、职业病诊疗、康复等职业病防治服务。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了解工作场所产生或者可能产生的职业病危害因素、危害后果和应当采取的职业病防护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要求用人单位提供符合防治职业病要求的职业病防护设施和个人使用的职业病防护用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品，改善工作条件。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对违反职业病防治法律、法规以及危及生命健康的行为提出批评、检举和控告。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拒绝违章指挥和强令进行没有职业病防护措施的作业。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参与用人单位职业卫生工作的民主管理，对职业病防治工作提出意见和建议</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职业病诊断与职业病病人保障(表4-15)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表4-15职业病诊断与职业病病人保障</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职业病诊断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医疗卫生机构承担职业病诊断，应当经省、自治区、直辖市人民政府卫生行政部门批准。劳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动者可以在用人单位所在地、本人户籍所在地或者经常居住地依法承担职业病诊断的卫生医疗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机构进行职业病诊断。职业病诊断，应当综合分析病人的职业史、职业病危害接触史和</w:t>
            </w: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作场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所职业病危害因素情况、临床表现以及辅助检查结果等因素</w:t>
            </w:r>
          </w:p>
        </w:tc>
      </w:tr>
      <w:tr>
        <w:tblPrEx>
          <w:tblLayout w:type="fixed"/>
          <w:tblCellMar>
            <w:top w:w="0" w:type="dxa"/>
            <w:left w:w="0" w:type="dxa"/>
            <w:bottom w:w="0" w:type="dxa"/>
            <w:right w:w="0" w:type="dxa"/>
          </w:tblCellMar>
        </w:tblPrEx>
        <w:trPr>
          <w:trHeight w:val="223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职业病病人保障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用人单位应当按照国家有关规定，安排职业病病人进行治疗、康复和定期检查。用人单位对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不适宦继续从事原工作的职业病病人．应当调离原岗位，并妥善安置。用人单位对从事接触职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业病危害的作业的劳动者，应当给予适当岗位津贴。职业病病人的诊疗、康复费用，伤残以及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丧失劳动能力的职业病病人的社会保障，按照国家有关工伤保险的规定执行。职业病病人除依</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法享有工伤保险外．依照有关民事法律尚有获得赔偿的权利的，有权向用人单位提出赔偿要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求。职业病病人变动工作单位，其依法享有的待遇不变。用人单位发生分立、合并、解散、破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产等情形时，应当对从事接触职业病危害作业的劳动者进行健康检查，并按照国家有关规定妥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善安置职业病病人</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劳动合同的建立与内容(表4-16)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表4-16劳动合同的建立与内容</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劳动合同的订立</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《劳动合同法》规定，用人单位自用工之日起即与劳动者建立劳动关系</w:t>
            </w:r>
          </w:p>
        </w:tc>
      </w:tr>
      <w:tr>
        <w:tblPrEx>
          <w:tblLayout w:type="fixed"/>
          <w:tblCellMar>
            <w:top w:w="0" w:type="dxa"/>
            <w:left w:w="0" w:type="dxa"/>
            <w:bottom w:w="0" w:type="dxa"/>
            <w:right w:w="0" w:type="dxa"/>
          </w:tblCellMar>
        </w:tblPrEx>
        <w:trPr>
          <w:trHeight w:val="318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劳动合同的内容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《劳动合同法》规定，劳动合同应当具备以下条款：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用人单位的名称、住所和法定代表人或者主要负责人。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劳动者的姓名、住址和居民身份证或者其他有效身份证件号码。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劳动合同期限。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工作内容和工作地点。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工作时间和休息休假。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劳动报酬。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社会保险。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劳动保护、劳动条件和职业危害防护。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法律、法规规定应当纳入劳动合同的其他事项。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劳动合同除前款规定的必备条款外，用人单位与劳动者可以约定试用期、培训、保守秘密、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补充保险和福利待遇等其他事项</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劳动者权利及用人单位的权利与义务(表4-17)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4-17劳动者权利及用人单位的权利与义务</w:t>
      </w:r>
    </w:p>
    <w:tbl>
      <w:tblPr>
        <w:tblStyle w:val="4"/>
        <w:tblW w:w="8505" w:type="dxa"/>
        <w:tblInd w:w="15" w:type="dxa"/>
        <w:tblLayout w:type="fixed"/>
        <w:tblCellMar>
          <w:top w:w="0" w:type="dxa"/>
          <w:left w:w="0" w:type="dxa"/>
          <w:bottom w:w="0" w:type="dxa"/>
          <w:right w:w="0" w:type="dxa"/>
        </w:tblCellMar>
      </w:tblPr>
      <w:tblGrid>
        <w:gridCol w:w="465"/>
        <w:gridCol w:w="1123"/>
        <w:gridCol w:w="87"/>
        <w:gridCol w:w="6753"/>
        <w:gridCol w:w="77"/>
      </w:tblGrid>
      <w:tr>
        <w:tblPrEx>
          <w:tblLayout w:type="fixed"/>
          <w:tblCellMar>
            <w:top w:w="0" w:type="dxa"/>
            <w:left w:w="0" w:type="dxa"/>
            <w:bottom w:w="0" w:type="dxa"/>
            <w:right w:w="0" w:type="dxa"/>
          </w:tblCellMar>
        </w:tblPrEx>
        <w:trPr>
          <w:trHeight w:val="292" w:hRule="atLeast"/>
        </w:trPr>
        <w:tc>
          <w:tcPr>
            <w:tcW w:w="1675"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096" w:hRule="atLeast"/>
        </w:trPr>
        <w:tc>
          <w:tcPr>
            <w:tcW w:w="1675"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劳动者的权利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《劳动合同法》规定，劳动者拒绝用人单位管理人员违章指挥、强令冒险作业的，不视为违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反劳动合同。劳动者对危害生命安全和身体健康的劳动条件，有权对用人单位提出批评、检举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和控告。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《劳动合同法》规定，用人单位有下列情形之～的，劳动者可以解除劳动合同：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未按照劳动合同约定提供劳动保护或者劳动条件的。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未及时足额支付劳动报酬的。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未依法为劳动者缴纳社会保险费的。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用人单位的规章制度违反法律、法规的规定，损害劳动者权益的。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因本法第</w:t>
            </w:r>
            <w:r>
              <w:rPr>
                <w:rFonts w:hint="eastAsia" w:ascii="微软雅黑" w:hAnsi="微软雅黑" w:eastAsia="微软雅黑" w:cs="微软雅黑"/>
                <w:color w:val="000000"/>
                <w:kern w:val="0"/>
                <w:sz w:val="18"/>
                <w:szCs w:val="18"/>
              </w:rPr>
              <w:t>26</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款规定的情形致使劳动合同无效的。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法律、行政法规规定劳动者可以解除劳动合同的其他情形。用人单位以暴力、威胁或者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非法限制人身自由的手段强迫劳动者劳动的，或者用人单位违章指挥、强令冒险作业危及劳动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者人身安全的，劳动者可以立即解除劳动合同，不需事先告知用人单位</w:t>
            </w:r>
          </w:p>
        </w:tc>
      </w:tr>
      <w:tr>
        <w:tblPrEx>
          <w:tblLayout w:type="fixed"/>
          <w:tblCellMar>
            <w:top w:w="0" w:type="dxa"/>
            <w:left w:w="0" w:type="dxa"/>
            <w:bottom w:w="0" w:type="dxa"/>
            <w:right w:w="0" w:type="dxa"/>
          </w:tblCellMar>
        </w:tblPrEx>
        <w:trPr>
          <w:trHeight w:val="811"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1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约定试用期和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服务期的权利</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《劳动合同法》规定，劳动合同期限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个月以上不满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年的，试用期不得超过</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个月；劳动合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同期限</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年以上不满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年的，试用期不得超过</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个月；</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年以上固定期限和无固定期限的劳动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合同，试用期不得超过</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个月</w:t>
            </w:r>
          </w:p>
        </w:tc>
      </w:tr>
      <w:tr>
        <w:tblPrEx>
          <w:tblLayout w:type="fixed"/>
          <w:tblCellMar>
            <w:top w:w="0" w:type="dxa"/>
            <w:left w:w="0" w:type="dxa"/>
            <w:bottom w:w="0" w:type="dxa"/>
            <w:right w:w="0" w:type="dxa"/>
          </w:tblCellMar>
        </w:tblPrEx>
        <w:trPr>
          <w:trHeight w:val="207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1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依法约定服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务期与竞业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限制的权利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《劳动合同法》规定，用人单位为劳动者提供专项培训费用，对其进行专业技术培训的，可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以与该劳动者订立协议，约定服务期。劳动者违反服务期约定的，应当按照约定向用人单位支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付违约金。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《劳动合同法》规定．竞业限制的人员限于用人单位的高级管理人员、高级技术人员和其他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负有保密义务的人员。竞业限制的范围、地域、期限由用人单位与劳动者约定，竞业限制的约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定不得违反法律、法规的规定。在解除或者终止劳动合同后，负有保密义务的人员到与本单位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生产或者经营同类产品、从事同类业务的有竞争关系的其他用人单位，或者自己开业生产或者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经营同类产品、从事同类业务的竞业限制期限，不得超过</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年</w:t>
            </w:r>
          </w:p>
        </w:tc>
      </w:tr>
      <w:tr>
        <w:tblPrEx>
          <w:tblLayout w:type="fixed"/>
          <w:tblCellMar>
            <w:top w:w="0" w:type="dxa"/>
            <w:left w:w="0" w:type="dxa"/>
            <w:bottom w:w="0" w:type="dxa"/>
            <w:right w:w="0" w:type="dxa"/>
          </w:tblCellMar>
        </w:tblPrEx>
        <w:trPr>
          <w:trHeight w:val="4478"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10"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依法解除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《劳动合同法》规定，用人单位与劳动者协商一致，可以解除劳动合同。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《劳动合同法》规定，劳动者提前</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以书面形式通知用人单位，可以解除劳动合同。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劳动者在试用期内提前</w:t>
            </w:r>
            <w:r>
              <w:rPr>
                <w:rFonts w:hint="eastAsia" w:ascii="微软雅黑" w:hAnsi="微软雅黑" w:eastAsia="微软雅黑" w:cs="微软雅黑"/>
                <w:color w:val="000000"/>
                <w:kern w:val="0"/>
                <w:sz w:val="18"/>
                <w:szCs w:val="18"/>
              </w:rPr>
              <w:t>3d</w:t>
            </w:r>
            <w:r>
              <w:rPr>
                <w:rFonts w:hint="eastAsia" w:ascii="微软雅黑" w:hAnsi="微软雅黑" w:eastAsia="微软雅黑" w:cs="微软雅黑"/>
                <w:color w:val="000000"/>
                <w:kern w:val="0"/>
                <w:sz w:val="18"/>
                <w:szCs w:val="18"/>
              </w:rPr>
              <w:t>通知用人单位，可以解除劳动合同。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《劳动合同法》规定，劳动者有下列情形之一的，用人单位呵以解除劳动合同：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在试用期间被证叫不符合录用条件的。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严重违反用人单位的规章制度的。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严重失职，营私舞弊，给用人单位造成重大损害的。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劳动者同时与其他用人单位建立劳动关系，对完成本单位的工作任务造成严重影响，或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者经用人单位提出，拒不改正的。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因本法第</w:t>
            </w:r>
            <w:r>
              <w:rPr>
                <w:rFonts w:hint="eastAsia" w:ascii="微软雅黑" w:hAnsi="微软雅黑" w:eastAsia="微软雅黑" w:cs="微软雅黑"/>
                <w:color w:val="000000"/>
                <w:kern w:val="0"/>
                <w:sz w:val="18"/>
                <w:szCs w:val="18"/>
              </w:rPr>
              <w:t>26</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款第</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项规定的情形致使劳动合同无效的。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被依法追究刑事责任的。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《劳动合同法》规定，有下列情形之一的，用人单位提前</w:t>
            </w:r>
            <w:r>
              <w:rPr>
                <w:rFonts w:hint="eastAsia" w:ascii="微软雅黑" w:hAnsi="微软雅黑" w:eastAsia="微软雅黑" w:cs="微软雅黑"/>
                <w:color w:val="000000"/>
                <w:kern w:val="0"/>
                <w:sz w:val="18"/>
                <w:szCs w:val="18"/>
              </w:rPr>
              <w:t>30d</w:t>
            </w:r>
            <w:r>
              <w:rPr>
                <w:rFonts w:hint="eastAsia" w:ascii="微软雅黑" w:hAnsi="微软雅黑" w:eastAsia="微软雅黑" w:cs="微软雅黑"/>
                <w:color w:val="000000"/>
                <w:kern w:val="0"/>
                <w:sz w:val="18"/>
                <w:szCs w:val="18"/>
              </w:rPr>
              <w:t>以书面形式通知劳动者本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人或者额外支付劳动者</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个月工资后，可以解除劳动合同：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劳动者患病或者非因工负伤，在规定的医疗期满后不能从事原：</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rPr>
              <w:t>作，也不能从事由用人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单位另行安排的工作的。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劳动者不能胜任工作．经过培训或者调整工作岗位，仍不能胜任工作的。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劳动合同订立时所依据的客观情况发生重大变化，致使劳动合同无法履行，经用人单位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与劳动者协商，未能就变更劳动合同内容达成协议的</w:t>
            </w:r>
          </w:p>
        </w:tc>
      </w:tr>
      <w:tr>
        <w:tblPrEx>
          <w:tblLayout w:type="fixed"/>
          <w:tblCellMar>
            <w:top w:w="0" w:type="dxa"/>
            <w:left w:w="0" w:type="dxa"/>
            <w:bottom w:w="0" w:type="dxa"/>
            <w:right w:w="0" w:type="dxa"/>
          </w:tblCellMar>
        </w:tblPrEx>
        <w:trPr>
          <w:trHeight w:val="628" w:hRule="atLeast"/>
        </w:trPr>
        <w:tc>
          <w:tcPr>
            <w:tcW w:w="1675"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用人单位的义务</w:t>
            </w: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《劳动合同法》规定，劳动者有下列两种情形之一的，用人单位不得依照本法第</w:t>
            </w:r>
            <w:r>
              <w:rPr>
                <w:rFonts w:hint="eastAsia" w:ascii="微软雅黑" w:hAnsi="微软雅黑" w:eastAsia="微软雅黑" w:cs="微软雅黑"/>
                <w:color w:val="000000"/>
                <w:kern w:val="0"/>
                <w:sz w:val="18"/>
                <w:szCs w:val="18"/>
              </w:rPr>
              <w:t>40</w:t>
            </w:r>
            <w:r>
              <w:rPr>
                <w:rFonts w:hint="eastAsia" w:ascii="微软雅黑" w:hAnsi="微软雅黑" w:eastAsia="微软雅黑" w:cs="微软雅黑"/>
                <w:color w:val="000000"/>
                <w:kern w:val="0"/>
                <w:sz w:val="18"/>
                <w:szCs w:val="18"/>
              </w:rPr>
              <w:t>条、第</w:t>
            </w:r>
            <w:r>
              <w:rPr>
                <w:rFonts w:hint="eastAsia" w:ascii="微软雅黑" w:hAnsi="微软雅黑" w:eastAsia="微软雅黑" w:cs="微软雅黑"/>
                <w:color w:val="000000"/>
                <w:kern w:val="0"/>
                <w:sz w:val="18"/>
                <w:szCs w:val="18"/>
              </w:rPr>
              <w:t>41</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条的规定解除劳动合同，这两种情形均涉及职业病防治等方面的权利保护：</w:t>
            </w:r>
          </w:p>
        </w:tc>
      </w:tr>
      <w:tr>
        <w:tblPrEx>
          <w:tblLayout w:type="fixed"/>
          <w:tblCellMar>
            <w:top w:w="0" w:type="dxa"/>
            <w:left w:w="0" w:type="dxa"/>
            <w:bottom w:w="0" w:type="dxa"/>
            <w:right w:w="0" w:type="dxa"/>
          </w:tblCellMar>
        </w:tblPrEx>
        <w:trPr>
          <w:gridAfter w:val="1"/>
          <w:wAfter w:w="77" w:type="dxa"/>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77" w:type="dxa"/>
          <w:trHeight w:val="1819"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用人单位的义务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从事接触职业病危害作业的劳动者未进行离岗前职业健康检查，或者疑似职业病病人在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诊断或者医学观察期间的。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在本单位患职业病或者因工负伤并被确认丧失或者部分丧失劳动能力的。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《职业病防治法》规定，对从事接触职业病危害作业的劳动者，用人单位应当按照国务院安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全生产监督管理部门、卫生行政部门的规定组织上岗前、在岗期间和离岗时的职业健康检查，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并将检查结果如实告知劳动者。对未进行离岗前职业健康检查的劳动者不得解除或者终止与其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订立的劳动合同</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用人单位违法行为的法律责任(表4-18)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4-18用人单位违法行为的法律责任</w:t>
      </w:r>
    </w:p>
    <w:tbl>
      <w:tblPr>
        <w:tblStyle w:val="4"/>
        <w:tblW w:w="8438" w:type="dxa"/>
        <w:tblInd w:w="15" w:type="dxa"/>
        <w:tblLayout w:type="fixed"/>
        <w:tblCellMar>
          <w:top w:w="0" w:type="dxa"/>
          <w:left w:w="0" w:type="dxa"/>
          <w:bottom w:w="0" w:type="dxa"/>
          <w:right w:w="0" w:type="dxa"/>
        </w:tblCellMar>
      </w:tblPr>
      <w:tblGrid>
        <w:gridCol w:w="1588"/>
        <w:gridCol w:w="6850"/>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违法行为</w:t>
            </w:r>
          </w:p>
        </w:tc>
        <w:tc>
          <w:tcPr>
            <w:tcW w:w="685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法律责任</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用人单位的规章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制度违法</w:t>
            </w:r>
          </w:p>
        </w:tc>
        <w:tc>
          <w:tcPr>
            <w:tcW w:w="685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《劳动合同法》规定，用人单位直接涉及劳动者切身利益的规章制度违反法律、法规规定的，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由劳动行政部门责令改正，给予警告；给劳动者造成损害的，应当承担赔偿责任</w:t>
            </w:r>
          </w:p>
        </w:tc>
      </w:tr>
      <w:tr>
        <w:tblPrEx>
          <w:tblLayout w:type="fixed"/>
          <w:tblCellMar>
            <w:top w:w="0" w:type="dxa"/>
            <w:left w:w="0" w:type="dxa"/>
            <w:bottom w:w="0" w:type="dxa"/>
            <w:right w:w="0" w:type="dxa"/>
          </w:tblCellMar>
        </w:tblPrEx>
        <w:trPr>
          <w:trHeight w:val="191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用人单位订立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劳动合同违法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5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《劳动合同法》规定，用人单位自用工之日起超过</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个月不满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年未与劳动者订立书面劳动合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同的，应当向劳动者每月支付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倍的工资。用人单位违反《劳动合同法》规定不与劳动者订立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无固定期限的劳动合同的，自应当订立无固定期限劳动合同之日起向劳动者每月支付</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_</w:t>
            </w:r>
            <w:r>
              <w:rPr>
                <w:rFonts w:hint="eastAsia" w:ascii="微软雅黑" w:hAnsi="微软雅黑" w:eastAsia="微软雅黑" w:cs="微软雅黑"/>
                <w:color w:val="000000"/>
                <w:kern w:val="0"/>
                <w:sz w:val="18"/>
                <w:szCs w:val="18"/>
              </w:rPr>
              <w:t>丁资。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《劳动合同法》规定，用人单位违反本法规定与劳动者约定试用期的，由劳动行政部门责令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改正；违法约定的试用期已经履行的，由用人单位以劳动者试用期满月工资为标准，按已经履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行的超过法定试用期的期间向劳动者支付赔偿金</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119F4"/>
    <w:rsid w:val="001E7CF3"/>
    <w:rsid w:val="002119F4"/>
    <w:rsid w:val="00443951"/>
    <w:rsid w:val="00490D85"/>
    <w:rsid w:val="0063337E"/>
    <w:rsid w:val="006F532A"/>
    <w:rsid w:val="008723CF"/>
    <w:rsid w:val="00A82F75"/>
    <w:rsid w:val="00C4656C"/>
    <w:rsid w:val="00EA3372"/>
    <w:rsid w:val="15037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35</Pages>
  <Words>4698</Words>
  <Characters>26785</Characters>
  <Lines>223</Lines>
  <Paragraphs>62</Paragraphs>
  <TotalTime>0</TotalTime>
  <ScaleCrop>false</ScaleCrop>
  <LinksUpToDate>false</LinksUpToDate>
  <CharactersWithSpaces>31421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2017-06-22T04:01:00Z</dcterms:created>
  <dc:creator>个人用户</dc:creator>
  <cp:lastModifiedBy>hp</cp:lastModifiedBy>
  <dcterms:modified xsi:type="dcterms:W3CDTF">2017-08-26T12:58:08Z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